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C4E06" w:rsidRDefault="00000000">
      <w:pPr>
        <w:spacing w:after="50"/>
        <w:ind w:left="360"/>
        <w:rPr>
          <w:rFonts w:ascii="Aptos" w:eastAsia="Aptos" w:hAnsi="Aptos" w:cs="Aptos"/>
        </w:rPr>
      </w:pPr>
      <w:r>
        <w:rPr>
          <w:rFonts w:ascii="Aptos" w:eastAsia="Aptos" w:hAnsi="Aptos" w:cs="Aptos"/>
          <w:b/>
          <w:bCs/>
          <w:color w:val="12156E"/>
          <w:sz w:val="48"/>
          <w:szCs w:val="48"/>
        </w:rPr>
        <w:t>GLOBAL DAY OF ACTION: #TestToBeatTB</w:t>
      </w:r>
    </w:p>
    <w:p w14:paraId="00000002" w14:textId="77777777" w:rsidR="00CC4E06" w:rsidRDefault="00000000">
      <w:pPr>
        <w:pBdr>
          <w:bottom w:val="single" w:sz="20" w:space="8" w:color="165CB5"/>
        </w:pBdr>
        <w:spacing w:after="200"/>
        <w:ind w:left="360"/>
        <w:rPr>
          <w:rFonts w:ascii="Aptos" w:eastAsia="Aptos" w:hAnsi="Aptos" w:cs="Aptos"/>
        </w:rPr>
      </w:pPr>
      <w:r>
        <w:rPr>
          <w:rFonts w:ascii="Aptos" w:eastAsia="Aptos" w:hAnsi="Aptos" w:cs="Aptos"/>
          <w:b/>
          <w:bCs/>
          <w:color w:val="165CB5"/>
          <w:sz w:val="27"/>
          <w:szCs w:val="27"/>
        </w:rPr>
        <w:t xml:space="preserve">Country memorandum template · 23 SEPTEMBER 2026 </w:t>
      </w:r>
    </w:p>
    <w:p w14:paraId="00000003" w14:textId="77777777" w:rsidR="00CC4E06" w:rsidRDefault="00000000">
      <w:pPr>
        <w:ind w:left="0" w:firstLine="0"/>
        <w:rPr>
          <w:sz w:val="22"/>
          <w:szCs w:val="22"/>
        </w:rPr>
      </w:pPr>
      <w:r>
        <w:rPr>
          <w:sz w:val="22"/>
          <w:szCs w:val="22"/>
        </w:rPr>
        <w:t>To: Minister of Health</w:t>
      </w:r>
    </w:p>
    <w:p w14:paraId="00000004" w14:textId="77777777" w:rsidR="00CC4E06" w:rsidRDefault="00000000">
      <w:pPr>
        <w:spacing w:after="80"/>
        <w:ind w:left="0" w:firstLine="0"/>
        <w:rPr>
          <w:sz w:val="22"/>
          <w:szCs w:val="22"/>
        </w:rPr>
      </w:pPr>
      <w:r>
        <w:rPr>
          <w:sz w:val="22"/>
          <w:szCs w:val="22"/>
        </w:rPr>
        <w:t>Cc: National TB Programme Manager</w:t>
      </w:r>
    </w:p>
    <w:p w14:paraId="00000005" w14:textId="77777777" w:rsidR="00CC4E06" w:rsidRDefault="00000000">
      <w:pPr>
        <w:spacing w:after="80"/>
        <w:ind w:left="0" w:firstLine="0"/>
        <w:rPr>
          <w:sz w:val="22"/>
          <w:szCs w:val="22"/>
        </w:rPr>
      </w:pPr>
      <w:r>
        <w:rPr>
          <w:sz w:val="22"/>
          <w:szCs w:val="22"/>
        </w:rPr>
        <w:t>Date: 23 September 2026</w:t>
      </w:r>
    </w:p>
    <w:p w14:paraId="00000006" w14:textId="77777777" w:rsidR="00CC4E06" w:rsidRDefault="00000000">
      <w:pPr>
        <w:spacing w:after="200"/>
        <w:ind w:left="0" w:firstLine="0"/>
        <w:rPr>
          <w:b/>
          <w:bCs/>
          <w:sz w:val="22"/>
          <w:szCs w:val="22"/>
        </w:rPr>
      </w:pPr>
      <w:r>
        <w:rPr>
          <w:sz w:val="22"/>
          <w:szCs w:val="22"/>
        </w:rPr>
        <w:t xml:space="preserve">Subject: 5-year national roadmaps for ambitious scale-up of rapid molecular TB tests </w:t>
      </w:r>
    </w:p>
    <w:p w14:paraId="00000007" w14:textId="631DF239" w:rsidR="00CC4E06" w:rsidRDefault="00000000">
      <w:pPr>
        <w:spacing w:after="140"/>
        <w:ind w:left="0" w:firstLine="0"/>
        <w:jc w:val="both"/>
        <w:rPr>
          <w:sz w:val="22"/>
          <w:szCs w:val="22"/>
        </w:rPr>
      </w:pPr>
      <w:r>
        <w:rPr>
          <w:sz w:val="22"/>
          <w:szCs w:val="22"/>
        </w:rPr>
        <w:t xml:space="preserve">Diagnosis is the weakest link in TB care. </w:t>
      </w:r>
      <w:sdt>
        <w:sdtPr>
          <w:tag w:val="goog_rdk_0"/>
          <w:id w:val="-134043786"/>
        </w:sdtPr>
        <w:sdtContent>
          <w:commentRangeStart w:id="0"/>
        </w:sdtContent>
      </w:sdt>
      <w:r>
        <w:rPr>
          <w:sz w:val="22"/>
          <w:szCs w:val="22"/>
        </w:rPr>
        <w:t>Of the estimated [[</w:t>
      </w:r>
      <w:r>
        <w:rPr>
          <w:color w:val="00B0F0"/>
          <w:sz w:val="22"/>
          <w:szCs w:val="22"/>
        </w:rPr>
        <w:t xml:space="preserve">Estimates of TB burden: </w:t>
      </w:r>
      <w:r>
        <w:rPr>
          <w:i/>
          <w:iCs/>
          <w:color w:val="00B0F0"/>
          <w:sz w:val="22"/>
          <w:szCs w:val="22"/>
        </w:rPr>
        <w:t>Total TB incidence, 2024</w:t>
      </w:r>
      <w:r>
        <w:rPr>
          <w:sz w:val="22"/>
          <w:szCs w:val="22"/>
        </w:rPr>
        <w:t>]] people who fell ill with TB in 2024 in [[</w:t>
      </w:r>
      <w:r>
        <w:rPr>
          <w:i/>
          <w:iCs/>
          <w:color w:val="00B0F0"/>
          <w:sz w:val="22"/>
          <w:szCs w:val="22"/>
        </w:rPr>
        <w:t>Name of country</w:t>
      </w:r>
      <w:r>
        <w:rPr>
          <w:sz w:val="22"/>
          <w:szCs w:val="22"/>
        </w:rPr>
        <w:t>]], only</w:t>
      </w:r>
      <w:r>
        <w:t xml:space="preserve"> </w:t>
      </w:r>
      <w:r>
        <w:rPr>
          <w:sz w:val="22"/>
          <w:szCs w:val="22"/>
        </w:rPr>
        <w:t>[[</w:t>
      </w:r>
      <w:r>
        <w:rPr>
          <w:color w:val="00B0F0"/>
          <w:sz w:val="22"/>
          <w:szCs w:val="22"/>
        </w:rPr>
        <w:t xml:space="preserve">Estimates of TB burden: </w:t>
      </w:r>
      <w:r>
        <w:rPr>
          <w:i/>
          <w:iCs/>
          <w:color w:val="00B0F0"/>
          <w:sz w:val="22"/>
          <w:szCs w:val="22"/>
        </w:rPr>
        <w:t>TB case notifications</w:t>
      </w:r>
      <w:r>
        <w:rPr>
          <w:sz w:val="22"/>
          <w:szCs w:val="22"/>
        </w:rPr>
        <w:t>]] were diagnosed and reported.</w:t>
      </w:r>
      <w:commentRangeEnd w:id="0"/>
      <w:r>
        <w:rPr>
          <w:rStyle w:val="CommentReference"/>
          <w:sz w:val="22"/>
          <w:szCs w:val="22"/>
        </w:rPr>
        <w:commentReference w:id="0"/>
      </w:r>
      <w:r>
        <w:rPr>
          <w:sz w:val="22"/>
          <w:szCs w:val="22"/>
        </w:rPr>
        <w:t xml:space="preserve"> Thirteen years after the WHO first recommended rapid molecular testing as the initial test for TB, only 54% of people diagnosed globally w</w:t>
      </w:r>
      <w:r w:rsidR="00775A6E">
        <w:rPr>
          <w:sz w:val="22"/>
          <w:szCs w:val="22"/>
        </w:rPr>
        <w:t>ere</w:t>
      </w:r>
      <w:r>
        <w:t xml:space="preserve"> </w:t>
      </w:r>
      <w:r>
        <w:rPr>
          <w:sz w:val="22"/>
          <w:szCs w:val="22"/>
        </w:rPr>
        <w:t>tested with WHO-Recommended Rapid Diagnostics (WRD). People with TB are still diagnosed late because testing is too far away, too slow, or too costly.</w:t>
      </w:r>
      <w:r>
        <w:rPr>
          <w:b/>
          <w:bCs/>
          <w:sz w:val="22"/>
          <w:szCs w:val="22"/>
        </w:rPr>
        <w:t xml:space="preserve"> </w:t>
      </w:r>
      <w:r>
        <w:rPr>
          <w:sz w:val="22"/>
          <w:szCs w:val="22"/>
        </w:rPr>
        <w:t>Closing this gap requires affordable, decentralized tests; stronger sample referral systems; and more diverse sampling techniques.</w:t>
      </w:r>
    </w:p>
    <w:p w14:paraId="00000008" w14:textId="77777777" w:rsidR="00CC4E06" w:rsidRDefault="00000000">
      <w:pPr>
        <w:spacing w:after="140"/>
        <w:ind w:left="0" w:firstLine="0"/>
        <w:jc w:val="both"/>
        <w:rPr>
          <w:sz w:val="22"/>
          <w:szCs w:val="22"/>
        </w:rPr>
      </w:pPr>
      <w:r>
        <w:rPr>
          <w:sz w:val="22"/>
          <w:szCs w:val="22"/>
        </w:rPr>
        <w:t>At the United Nations High Level Meeting on TB in 2023, [[</w:t>
      </w:r>
      <w:r>
        <w:rPr>
          <w:i/>
          <w:iCs/>
          <w:color w:val="00B0F0"/>
          <w:sz w:val="22"/>
          <w:szCs w:val="22"/>
        </w:rPr>
        <w:t>Name of country</w:t>
      </w:r>
      <w:r>
        <w:rPr>
          <w:sz w:val="22"/>
          <w:szCs w:val="22"/>
        </w:rPr>
        <w:t xml:space="preserve">]] joined the other UN member states in </w:t>
      </w:r>
      <w:hyperlink r:id="rId9">
        <w:r>
          <w:rPr>
            <w:color w:val="1155CC"/>
            <w:sz w:val="22"/>
            <w:szCs w:val="22"/>
            <w:u w:val="single"/>
          </w:rPr>
          <w:t>committing</w:t>
        </w:r>
      </w:hyperlink>
      <w:r>
        <w:rPr>
          <w:sz w:val="22"/>
          <w:szCs w:val="22"/>
        </w:rPr>
        <w:t xml:space="preserve"> to ensuring 100% of people diagnosed with TB are initially tested with a WRD by 2027. Yet diagnosis remains the weakest link in TB care.</w:t>
      </w:r>
    </w:p>
    <w:p w14:paraId="00000009" w14:textId="77777777" w:rsidR="00CC4E06" w:rsidRDefault="00000000">
      <w:pPr>
        <w:spacing w:after="0"/>
        <w:ind w:left="0" w:firstLine="0"/>
        <w:rPr>
          <w:sz w:val="22"/>
          <w:szCs w:val="22"/>
        </w:rPr>
      </w:pPr>
      <w:r>
        <w:rPr>
          <w:sz w:val="22"/>
          <w:szCs w:val="22"/>
        </w:rPr>
        <w:t xml:space="preserve">Results from </w:t>
      </w:r>
      <w:hyperlink r:id="rId10">
        <w:r>
          <w:rPr>
            <w:color w:val="1155CC"/>
            <w:sz w:val="22"/>
            <w:szCs w:val="22"/>
            <w:u w:val="single"/>
          </w:rPr>
          <w:t>recent</w:t>
        </w:r>
      </w:hyperlink>
      <w:r>
        <w:t xml:space="preserve"> </w:t>
      </w:r>
      <w:hyperlink r:id="rId11">
        <w:r>
          <w:rPr>
            <w:color w:val="467886"/>
            <w:sz w:val="22"/>
            <w:szCs w:val="22"/>
            <w:u w:val="single"/>
          </w:rPr>
          <w:t>studies</w:t>
        </w:r>
      </w:hyperlink>
      <w:r>
        <w:rPr>
          <w:sz w:val="28"/>
          <w:szCs w:val="28"/>
        </w:rPr>
        <w:t xml:space="preserve"> </w:t>
      </w:r>
      <w:r>
        <w:rPr>
          <w:sz w:val="22"/>
          <w:szCs w:val="22"/>
        </w:rPr>
        <w:t xml:space="preserve">show that placing rapid molecular tests where people seek care leads to faster diagnosis and treatment initiation, reduced loss to follow-up, and increased overall TB case detection compared to centralized testing. </w:t>
      </w:r>
    </w:p>
    <w:p w14:paraId="0000000A" w14:textId="02D87B33" w:rsidR="00CC4E06" w:rsidRDefault="00000000">
      <w:pPr>
        <w:spacing w:before="240" w:after="240"/>
        <w:ind w:left="0" w:firstLine="0"/>
        <w:jc w:val="both"/>
        <w:rPr>
          <w:sz w:val="22"/>
          <w:szCs w:val="22"/>
        </w:rPr>
      </w:pPr>
      <w:r>
        <w:rPr>
          <w:sz w:val="22"/>
          <w:szCs w:val="22"/>
        </w:rPr>
        <w:t xml:space="preserve">One of the newer innovations in TB diagnostics – the </w:t>
      </w:r>
      <w:hyperlink r:id="rId12">
        <w:r>
          <w:rPr>
            <w:color w:val="0563C1"/>
            <w:sz w:val="22"/>
            <w:szCs w:val="22"/>
            <w:u w:val="single"/>
          </w:rPr>
          <w:t>near point-of-care (nPOC) TB tests</w:t>
        </w:r>
      </w:hyperlink>
      <w:r>
        <w:rPr>
          <w:sz w:val="22"/>
          <w:szCs w:val="22"/>
        </w:rPr>
        <w:t xml:space="preserve"> – has the potential to transform the TB diagnostic landscape. WHO recommended nPOC TB tests in </w:t>
      </w:r>
      <w:hyperlink r:id="rId13">
        <w:r>
          <w:rPr>
            <w:color w:val="0563C1"/>
            <w:sz w:val="22"/>
            <w:szCs w:val="22"/>
            <w:u w:val="single"/>
          </w:rPr>
          <w:t>March 2026</w:t>
        </w:r>
      </w:hyperlink>
      <w:r>
        <w:rPr>
          <w:sz w:val="22"/>
          <w:szCs w:val="22"/>
        </w:rPr>
        <w:t xml:space="preserve"> in place of smear microscopy as the initial test for adults and adolescents with presumptive pulmonary TB, using tongue swabs when sputum cannot be collected. The first WHO</w:t>
      </w:r>
      <w:r w:rsidR="00775A6E">
        <w:rPr>
          <w:sz w:val="22"/>
          <w:szCs w:val="22"/>
        </w:rPr>
        <w:t>-</w:t>
      </w:r>
      <w:r>
        <w:rPr>
          <w:sz w:val="22"/>
          <w:szCs w:val="22"/>
        </w:rPr>
        <w:t xml:space="preserve">recommended nPOC test, Pluslife MiniDock MTB, is available now through the </w:t>
      </w:r>
      <w:hyperlink r:id="rId14">
        <w:r>
          <w:rPr>
            <w:color w:val="1155CC"/>
            <w:sz w:val="22"/>
            <w:szCs w:val="22"/>
            <w:u w:val="single"/>
          </w:rPr>
          <w:t>Global Drug Facility</w:t>
        </w:r>
      </w:hyperlink>
      <w:r>
        <w:rPr>
          <w:sz w:val="22"/>
          <w:szCs w:val="22"/>
        </w:rPr>
        <w:t xml:space="preserve"> and </w:t>
      </w:r>
      <w:r>
        <w:rPr>
          <w:sz w:val="22"/>
          <w:szCs w:val="22"/>
          <w:highlight w:val="white"/>
        </w:rPr>
        <w:t>the Global Fund's Wambo platform</w:t>
      </w:r>
      <w:r>
        <w:rPr>
          <w:sz w:val="22"/>
          <w:szCs w:val="22"/>
        </w:rPr>
        <w:t xml:space="preserve">. It returns results in 30 minutes and requires two devices, which cost $335 together; each testing card costs $2.60. The nPOC tests can be used as an initial diagnostic, with </w:t>
      </w:r>
      <w:hyperlink r:id="rId15">
        <w:r>
          <w:rPr>
            <w:color w:val="0563C1"/>
            <w:sz w:val="22"/>
            <w:szCs w:val="22"/>
            <w:u w:val="single"/>
          </w:rPr>
          <w:t>low-complexity molecular</w:t>
        </w:r>
      </w:hyperlink>
      <w:r>
        <w:rPr>
          <w:sz w:val="22"/>
          <w:szCs w:val="22"/>
        </w:rPr>
        <w:t xml:space="preserve"> tests like Xpert MTB/RIF Ultra used for reflex drug resistance testing when TB is detected. Placed strategically, nPOCs can expand test coverage.</w:t>
      </w:r>
    </w:p>
    <w:p w14:paraId="0000000B" w14:textId="6928314D" w:rsidR="00CC4E06" w:rsidRDefault="00000000">
      <w:pPr>
        <w:spacing w:before="240" w:after="240"/>
        <w:ind w:left="0" w:firstLine="0"/>
        <w:jc w:val="both"/>
        <w:rPr>
          <w:sz w:val="22"/>
          <w:szCs w:val="22"/>
        </w:rPr>
      </w:pPr>
      <w:r>
        <w:rPr>
          <w:sz w:val="22"/>
          <w:szCs w:val="22"/>
        </w:rPr>
        <w:t xml:space="preserve">Following a </w:t>
      </w:r>
      <w:hyperlink r:id="rId16">
        <w:r>
          <w:rPr>
            <w:color w:val="1155CC"/>
            <w:sz w:val="22"/>
            <w:szCs w:val="22"/>
            <w:u w:val="single"/>
          </w:rPr>
          <w:t>recent price reduction</w:t>
        </w:r>
      </w:hyperlink>
      <w:r>
        <w:t xml:space="preserve"> </w:t>
      </w:r>
      <w:r>
        <w:rPr>
          <w:sz w:val="22"/>
          <w:szCs w:val="22"/>
        </w:rPr>
        <w:t>from $3.60 to $2.60 per test card, the nPOC test is now more affordable through the Stop TB Partnership's Global Drug Facility. Programs should reinvest the resulting savings into expanding TB screening and testing programs.</w:t>
      </w:r>
    </w:p>
    <w:p w14:paraId="0000000C" w14:textId="77777777" w:rsidR="00CC4E06" w:rsidRDefault="00000000">
      <w:pPr>
        <w:spacing w:after="140"/>
        <w:ind w:left="0" w:firstLine="0"/>
        <w:jc w:val="both"/>
        <w:rPr>
          <w:b/>
          <w:bCs/>
          <w:sz w:val="22"/>
          <w:szCs w:val="22"/>
        </w:rPr>
      </w:pPr>
      <w:r>
        <w:rPr>
          <w:b/>
          <w:bCs/>
          <w:sz w:val="22"/>
          <w:szCs w:val="22"/>
        </w:rPr>
        <w:t>Ambitious roadmaps</w:t>
      </w:r>
    </w:p>
    <w:p w14:paraId="0000000D" w14:textId="4E4C14C9" w:rsidR="00CC4E06" w:rsidRDefault="00000000">
      <w:pPr>
        <w:spacing w:after="140"/>
        <w:ind w:left="0" w:firstLine="0"/>
        <w:rPr>
          <w:b/>
          <w:bCs/>
          <w:color w:val="12156E"/>
          <w:sz w:val="22"/>
          <w:szCs w:val="22"/>
        </w:rPr>
      </w:pPr>
      <w:r>
        <w:rPr>
          <w:b/>
          <w:bCs/>
          <w:sz w:val="22"/>
          <w:szCs w:val="22"/>
        </w:rPr>
        <w:t xml:space="preserve">We ask that the National TB Programme develop an ambitious </w:t>
      </w:r>
      <w:r w:rsidR="00775A6E">
        <w:rPr>
          <w:b/>
          <w:bCs/>
          <w:sz w:val="22"/>
          <w:szCs w:val="22"/>
        </w:rPr>
        <w:t>5</w:t>
      </w:r>
      <w:r>
        <w:rPr>
          <w:b/>
          <w:bCs/>
          <w:sz w:val="22"/>
          <w:szCs w:val="22"/>
        </w:rPr>
        <w:t xml:space="preserve">-year rollout roadmap, set bold targets, and integrate molecular tests, including nPOC diagnostics, into the National Strategic Plan and the </w:t>
      </w:r>
      <w:r>
        <w:rPr>
          <w:b/>
          <w:bCs/>
          <w:sz w:val="22"/>
          <w:szCs w:val="22"/>
        </w:rPr>
        <w:t>Global Fund Grant Cycle 8 (</w:t>
      </w:r>
      <w:r>
        <w:rPr>
          <w:b/>
          <w:bCs/>
          <w:sz w:val="22"/>
          <w:szCs w:val="22"/>
        </w:rPr>
        <w:t>GC8</w:t>
      </w:r>
      <w:r w:rsidR="00775A6E">
        <w:rPr>
          <w:b/>
          <w:bCs/>
          <w:sz w:val="22"/>
          <w:szCs w:val="22"/>
        </w:rPr>
        <w:t>)</w:t>
      </w:r>
      <w:r>
        <w:rPr>
          <w:b/>
          <w:bCs/>
          <w:sz w:val="22"/>
          <w:szCs w:val="22"/>
        </w:rPr>
        <w:t xml:space="preserve"> funding request with the following goals:</w:t>
      </w:r>
    </w:p>
    <w:p w14:paraId="0000000E" w14:textId="7480FF36" w:rsidR="00CC4E06" w:rsidRDefault="00000000">
      <w:pPr>
        <w:numPr>
          <w:ilvl w:val="0"/>
          <w:numId w:val="3"/>
        </w:numPr>
        <w:spacing w:after="100"/>
        <w:rPr>
          <w:sz w:val="22"/>
          <w:szCs w:val="22"/>
        </w:rPr>
      </w:pPr>
      <w:r>
        <w:rPr>
          <w:b/>
          <w:bCs/>
          <w:color w:val="12156E"/>
          <w:sz w:val="22"/>
          <w:szCs w:val="22"/>
        </w:rPr>
        <w:t xml:space="preserve">By end of 2026: </w:t>
      </w:r>
      <w:r>
        <w:rPr>
          <w:color w:val="222222"/>
          <w:sz w:val="22"/>
          <w:szCs w:val="22"/>
        </w:rPr>
        <w:t>Publish a 5-year costed roadmap with measurable annual commitments to scale</w:t>
      </w:r>
      <w:r w:rsidR="00775A6E">
        <w:rPr>
          <w:color w:val="222222"/>
          <w:sz w:val="22"/>
          <w:szCs w:val="22"/>
        </w:rPr>
        <w:t>-</w:t>
      </w:r>
      <w:r>
        <w:rPr>
          <w:color w:val="222222"/>
          <w:sz w:val="22"/>
          <w:szCs w:val="22"/>
        </w:rPr>
        <w:t xml:space="preserve">up TB screening and testing, including new innovations. </w:t>
      </w:r>
    </w:p>
    <w:p w14:paraId="0000000F" w14:textId="77777777" w:rsidR="00CC4E06" w:rsidRDefault="00000000">
      <w:pPr>
        <w:numPr>
          <w:ilvl w:val="0"/>
          <w:numId w:val="3"/>
        </w:numPr>
        <w:spacing w:after="100"/>
        <w:rPr>
          <w:sz w:val="22"/>
          <w:szCs w:val="22"/>
        </w:rPr>
      </w:pPr>
      <w:r>
        <w:rPr>
          <w:b/>
          <w:bCs/>
          <w:color w:val="12156E"/>
          <w:sz w:val="22"/>
          <w:szCs w:val="22"/>
        </w:rPr>
        <w:t xml:space="preserve">By end of 2027: </w:t>
      </w:r>
      <w:r>
        <w:rPr>
          <w:color w:val="222222"/>
          <w:sz w:val="22"/>
          <w:szCs w:val="22"/>
        </w:rPr>
        <w:t>100% of people diagnosed with TB are initially tested with a WHO-recommended molecular test — in line with the UN High-Level Meeting on TB target, which includes replacing smear microscopy as the initial diagnostic test.</w:t>
      </w:r>
    </w:p>
    <w:p w14:paraId="00000010" w14:textId="77777777" w:rsidR="00CC4E06" w:rsidRDefault="00000000">
      <w:pPr>
        <w:numPr>
          <w:ilvl w:val="0"/>
          <w:numId w:val="3"/>
        </w:numPr>
        <w:spacing w:after="100"/>
        <w:rPr>
          <w:color w:val="222222"/>
          <w:sz w:val="22"/>
          <w:szCs w:val="22"/>
        </w:rPr>
      </w:pPr>
      <w:r>
        <w:rPr>
          <w:b/>
          <w:bCs/>
          <w:color w:val="222222"/>
          <w:sz w:val="22"/>
          <w:szCs w:val="22"/>
        </w:rPr>
        <w:t xml:space="preserve">By </w:t>
      </w:r>
      <w:r>
        <w:rPr>
          <w:b/>
          <w:bCs/>
          <w:color w:val="12156E"/>
          <w:sz w:val="22"/>
          <w:szCs w:val="22"/>
        </w:rPr>
        <w:t xml:space="preserve">end of </w:t>
      </w:r>
      <w:r>
        <w:rPr>
          <w:b/>
          <w:bCs/>
          <w:color w:val="222222"/>
          <w:sz w:val="22"/>
          <w:szCs w:val="22"/>
        </w:rPr>
        <w:t>2028</w:t>
      </w:r>
      <w:r>
        <w:rPr>
          <w:color w:val="222222"/>
          <w:sz w:val="22"/>
          <w:szCs w:val="22"/>
        </w:rPr>
        <w:t>: Over 75% of health facilities are able to test with nPOC or a WHO-recommended molecular test onsite or via specimen transport.</w:t>
      </w:r>
    </w:p>
    <w:p w14:paraId="00000011" w14:textId="6D8C1B8E" w:rsidR="00CC4E06" w:rsidRDefault="00000000">
      <w:pPr>
        <w:numPr>
          <w:ilvl w:val="0"/>
          <w:numId w:val="3"/>
        </w:numPr>
        <w:spacing w:after="100"/>
        <w:rPr>
          <w:sz w:val="22"/>
          <w:szCs w:val="22"/>
        </w:rPr>
      </w:pPr>
      <w:r>
        <w:rPr>
          <w:b/>
          <w:bCs/>
          <w:color w:val="12156E"/>
          <w:sz w:val="22"/>
          <w:szCs w:val="22"/>
        </w:rPr>
        <w:lastRenderedPageBreak/>
        <w:t xml:space="preserve">By end of 2029: </w:t>
      </w:r>
      <w:r>
        <w:rPr>
          <w:color w:val="222222"/>
          <w:sz w:val="22"/>
          <w:szCs w:val="22"/>
        </w:rPr>
        <w:t>100% health facility coverage, including primary health care facilities, provide</w:t>
      </w:r>
      <w:r w:rsidR="00775A6E">
        <w:rPr>
          <w:color w:val="222222"/>
          <w:sz w:val="22"/>
          <w:szCs w:val="22"/>
        </w:rPr>
        <w:t>s</w:t>
      </w:r>
      <w:r>
        <w:rPr>
          <w:color w:val="222222"/>
          <w:sz w:val="22"/>
          <w:szCs w:val="22"/>
        </w:rPr>
        <w:t xml:space="preserve"> access to nPOCs or other WHO-recommended molecular tests for same-day results and linkage to care.</w:t>
      </w:r>
    </w:p>
    <w:p w14:paraId="00000012" w14:textId="05DEFEEA" w:rsidR="00CC4E06" w:rsidRDefault="00000000">
      <w:pPr>
        <w:numPr>
          <w:ilvl w:val="0"/>
          <w:numId w:val="3"/>
        </w:numPr>
        <w:spacing w:after="100"/>
        <w:rPr>
          <w:sz w:val="22"/>
          <w:szCs w:val="22"/>
        </w:rPr>
      </w:pPr>
      <w:r>
        <w:rPr>
          <w:b/>
          <w:bCs/>
          <w:color w:val="12156E"/>
          <w:sz w:val="22"/>
          <w:szCs w:val="22"/>
        </w:rPr>
        <w:t xml:space="preserve">By end of 2030: </w:t>
      </w:r>
      <w:r>
        <w:rPr>
          <w:color w:val="222222"/>
          <w:sz w:val="22"/>
          <w:szCs w:val="22"/>
        </w:rPr>
        <w:t>Doubl</w:t>
      </w:r>
      <w:r w:rsidR="00775A6E">
        <w:rPr>
          <w:color w:val="222222"/>
          <w:sz w:val="22"/>
          <w:szCs w:val="22"/>
        </w:rPr>
        <w:t>e</w:t>
      </w:r>
      <w:r>
        <w:rPr>
          <w:color w:val="222222"/>
          <w:sz w:val="22"/>
          <w:szCs w:val="22"/>
        </w:rPr>
        <w:t xml:space="preserve"> the number (compared to 2026 levels) of people receiving TB screening, molecular testing and drug-resistance testing in order to close the national TB diagnostic gap.</w:t>
      </w:r>
    </w:p>
    <w:p w14:paraId="00000013" w14:textId="77777777" w:rsidR="00CC4E06" w:rsidRDefault="00CC4E06">
      <w:pPr>
        <w:ind w:left="0" w:firstLine="0"/>
        <w:rPr>
          <w:color w:val="222222"/>
          <w:sz w:val="22"/>
          <w:szCs w:val="22"/>
        </w:rPr>
      </w:pPr>
    </w:p>
    <w:p w14:paraId="00000014" w14:textId="0AD0754C" w:rsidR="00CC4E06" w:rsidRDefault="00000000">
      <w:pPr>
        <w:spacing w:after="140"/>
        <w:rPr>
          <w:sz w:val="22"/>
          <w:szCs w:val="22"/>
        </w:rPr>
      </w:pPr>
      <w:r>
        <w:rPr>
          <w:b/>
          <w:bCs/>
          <w:sz w:val="22"/>
          <w:szCs w:val="22"/>
        </w:rPr>
        <w:t>To inform this roadmap</w:t>
      </w:r>
      <w:r w:rsidR="00775A6E">
        <w:rPr>
          <w:b/>
          <w:bCs/>
          <w:sz w:val="22"/>
          <w:szCs w:val="22"/>
        </w:rPr>
        <w:t>,</w:t>
      </w:r>
      <w:r>
        <w:rPr>
          <w:b/>
          <w:bCs/>
          <w:sz w:val="22"/>
          <w:szCs w:val="22"/>
        </w:rPr>
        <w:t xml:space="preserve"> we ask that the Ministry of Health and National TB Programme:</w:t>
      </w:r>
    </w:p>
    <w:p w14:paraId="00000015" w14:textId="77777777" w:rsidR="00CC4E06" w:rsidRDefault="00000000">
      <w:pPr>
        <w:numPr>
          <w:ilvl w:val="0"/>
          <w:numId w:val="2"/>
        </w:numPr>
        <w:spacing w:after="0"/>
        <w:rPr>
          <w:sz w:val="22"/>
          <w:szCs w:val="22"/>
        </w:rPr>
      </w:pPr>
      <w:r>
        <w:rPr>
          <w:sz w:val="22"/>
          <w:szCs w:val="22"/>
        </w:rPr>
        <w:t>Identify the gaps – where people with TB are being missed, including in priority populations such as people living with HIV, rural communities, and the urban poor, and also identify which regions have the lowest diagnostic coverage;</w:t>
      </w:r>
    </w:p>
    <w:p w14:paraId="00000016" w14:textId="77777777" w:rsidR="00CC4E06" w:rsidRDefault="00000000">
      <w:pPr>
        <w:numPr>
          <w:ilvl w:val="0"/>
          <w:numId w:val="2"/>
        </w:numPr>
        <w:spacing w:after="0"/>
        <w:rPr>
          <w:sz w:val="22"/>
          <w:szCs w:val="22"/>
        </w:rPr>
      </w:pPr>
      <w:r>
        <w:rPr>
          <w:sz w:val="22"/>
          <w:szCs w:val="22"/>
        </w:rPr>
        <w:t>Map existing infrastructure, including primary health care sites, microscopy centers, and WRD facilities, so that nPOC tests complement current capacity rather than duplicate it;</w:t>
      </w:r>
    </w:p>
    <w:p w14:paraId="00000017" w14:textId="77777777" w:rsidR="00CC4E06" w:rsidRDefault="00000000">
      <w:pPr>
        <w:numPr>
          <w:ilvl w:val="0"/>
          <w:numId w:val="2"/>
        </w:numPr>
        <w:spacing w:after="0"/>
        <w:rPr>
          <w:sz w:val="22"/>
          <w:szCs w:val="22"/>
        </w:rPr>
      </w:pPr>
      <w:r>
        <w:rPr>
          <w:sz w:val="22"/>
          <w:szCs w:val="22"/>
        </w:rPr>
        <w:t xml:space="preserve">Budget the whole package: devices, tests, updated algorithms, training, supervision, sample transport for follow-on drug susceptibility testing, connectivity, maintenance, and community engagement (see the </w:t>
      </w:r>
      <w:hyperlink r:id="rId17">
        <w:r>
          <w:rPr>
            <w:color w:val="0563C1"/>
            <w:sz w:val="22"/>
            <w:szCs w:val="22"/>
            <w:u w:val="single"/>
          </w:rPr>
          <w:t>GLI implementation toolkit</w:t>
        </w:r>
      </w:hyperlink>
      <w:r>
        <w:rPr>
          <w:sz w:val="22"/>
          <w:szCs w:val="22"/>
        </w:rPr>
        <w:t>);</w:t>
      </w:r>
    </w:p>
    <w:p w14:paraId="00000018" w14:textId="77777777" w:rsidR="00CC4E06" w:rsidRDefault="00000000">
      <w:pPr>
        <w:numPr>
          <w:ilvl w:val="0"/>
          <w:numId w:val="2"/>
        </w:numPr>
        <w:rPr>
          <w:sz w:val="22"/>
          <w:szCs w:val="22"/>
        </w:rPr>
      </w:pPr>
      <w:r>
        <w:rPr>
          <w:sz w:val="22"/>
          <w:szCs w:val="22"/>
        </w:rPr>
        <w:t>Involve communities at every stage, including in choosing sites, implementation, and monitoring, and put accountability mechanisms in place with quarterly reviews to identify and clear bottlenecks.</w:t>
      </w:r>
    </w:p>
    <w:p w14:paraId="00000019" w14:textId="77777777" w:rsidR="00CC4E06" w:rsidRDefault="00000000">
      <w:pPr>
        <w:spacing w:before="140" w:after="200"/>
        <w:ind w:left="187" w:firstLine="0"/>
        <w:rPr>
          <w:sz w:val="22"/>
          <w:szCs w:val="22"/>
        </w:rPr>
      </w:pPr>
      <w:r>
        <w:rPr>
          <w:sz w:val="22"/>
          <w:szCs w:val="22"/>
        </w:rPr>
        <w:t xml:space="preserve">Thank you for considering this request. We are ready to work with the Ministry of Health and National TB Programme to expand equitable access to rapid molecular TB testing. </w:t>
      </w:r>
    </w:p>
    <w:p w14:paraId="0000001A" w14:textId="77777777" w:rsidR="00CC4E06" w:rsidRDefault="00000000">
      <w:pPr>
        <w:spacing w:before="140" w:after="200"/>
        <w:ind w:left="188" w:firstLine="0"/>
        <w:rPr>
          <w:sz w:val="22"/>
          <w:szCs w:val="22"/>
        </w:rPr>
      </w:pPr>
      <w:r>
        <w:rPr>
          <w:sz w:val="22"/>
          <w:szCs w:val="22"/>
        </w:rPr>
        <w:t xml:space="preserve">We look forward to discussing these issues with you. </w:t>
      </w:r>
      <w:r>
        <w:t xml:space="preserve">     </w:t>
      </w:r>
    </w:p>
    <w:p w14:paraId="0000001B" w14:textId="77777777" w:rsidR="00CC4E06" w:rsidRDefault="00000000">
      <w:pPr>
        <w:spacing w:after="160"/>
        <w:rPr>
          <w:sz w:val="22"/>
          <w:szCs w:val="22"/>
        </w:rPr>
      </w:pPr>
      <w:r>
        <w:rPr>
          <w:sz w:val="22"/>
          <w:szCs w:val="22"/>
        </w:rPr>
        <w:t>Sincerely,</w:t>
      </w:r>
    </w:p>
    <w:p w14:paraId="0000001C" w14:textId="64C1281A" w:rsidR="00CC4E06" w:rsidRDefault="00000000">
      <w:pPr>
        <w:spacing w:before="140" w:after="200"/>
        <w:ind w:left="188" w:firstLine="0"/>
        <w:rPr>
          <w:sz w:val="22"/>
          <w:szCs w:val="22"/>
        </w:rPr>
      </w:pPr>
      <w:r>
        <w:rPr>
          <w:sz w:val="22"/>
          <w:szCs w:val="22"/>
        </w:rPr>
        <w:t>[</w:t>
      </w:r>
      <w:r>
        <w:rPr>
          <w:color w:val="00B0F0"/>
          <w:sz w:val="22"/>
          <w:szCs w:val="22"/>
        </w:rPr>
        <w:t>Full Name</w:t>
      </w:r>
      <w:r>
        <w:rPr>
          <w:sz w:val="22"/>
          <w:szCs w:val="22"/>
        </w:rPr>
        <w:t>]</w:t>
      </w:r>
    </w:p>
    <w:p w14:paraId="0000001D" w14:textId="77777777" w:rsidR="00CC4E06" w:rsidRDefault="00000000">
      <w:pPr>
        <w:spacing w:before="140" w:after="200"/>
        <w:ind w:left="188" w:firstLine="0"/>
        <w:rPr>
          <w:sz w:val="22"/>
          <w:szCs w:val="22"/>
        </w:rPr>
      </w:pPr>
      <w:r>
        <w:rPr>
          <w:sz w:val="22"/>
          <w:szCs w:val="22"/>
        </w:rPr>
        <w:t>[</w:t>
      </w:r>
      <w:r>
        <w:rPr>
          <w:color w:val="00B0F0"/>
          <w:sz w:val="22"/>
          <w:szCs w:val="22"/>
        </w:rPr>
        <w:t>Email</w:t>
      </w:r>
      <w:r>
        <w:rPr>
          <w:sz w:val="22"/>
          <w:szCs w:val="22"/>
        </w:rPr>
        <w:t>]</w:t>
      </w:r>
    </w:p>
    <w:p w14:paraId="0000001E" w14:textId="53774B58" w:rsidR="00CC4E06" w:rsidRDefault="00000000">
      <w:pPr>
        <w:spacing w:before="140" w:after="200"/>
        <w:ind w:left="188" w:firstLine="0"/>
        <w:rPr>
          <w:sz w:val="22"/>
          <w:szCs w:val="22"/>
        </w:rPr>
      </w:pPr>
      <w:r>
        <w:rPr>
          <w:sz w:val="22"/>
          <w:szCs w:val="22"/>
        </w:rPr>
        <w:t>[</w:t>
      </w:r>
      <w:r>
        <w:rPr>
          <w:color w:val="00B0F0"/>
          <w:sz w:val="22"/>
          <w:szCs w:val="22"/>
        </w:rPr>
        <w:t>Phone</w:t>
      </w:r>
      <w:r>
        <w:rPr>
          <w:sz w:val="22"/>
          <w:szCs w:val="22"/>
        </w:rPr>
        <w:t>]</w:t>
      </w:r>
      <w:r>
        <w:t xml:space="preserve">     </w:t>
      </w:r>
    </w:p>
    <w:p w14:paraId="0000001F" w14:textId="7A283F66" w:rsidR="00CC4E06" w:rsidRDefault="00000000">
      <w:pPr>
        <w:spacing w:before="240" w:after="240"/>
        <w:ind w:left="0" w:firstLine="0"/>
        <w:jc w:val="both"/>
        <w:rPr>
          <w:sz w:val="22"/>
          <w:szCs w:val="22"/>
        </w:rPr>
      </w:pPr>
      <w:r>
        <w:rPr>
          <w:sz w:val="22"/>
          <w:szCs w:val="22"/>
        </w:rPr>
        <w:t xml:space="preserve">On behalf of </w:t>
      </w:r>
      <w:r w:rsidR="00775A6E">
        <w:rPr>
          <w:sz w:val="22"/>
          <w:szCs w:val="22"/>
        </w:rPr>
        <w:t>[</w:t>
      </w:r>
      <w:r w:rsidRPr="00775A6E">
        <w:rPr>
          <w:color w:val="00B0F0"/>
          <w:sz w:val="22"/>
          <w:szCs w:val="22"/>
        </w:rPr>
        <w:t>XXX</w:t>
      </w:r>
      <w:r w:rsidR="00775A6E" w:rsidRPr="00775A6E">
        <w:rPr>
          <w:color w:val="000000" w:themeColor="text1"/>
          <w:sz w:val="22"/>
          <w:szCs w:val="22"/>
        </w:rPr>
        <w:t>]</w:t>
      </w:r>
    </w:p>
    <w:p w14:paraId="00000020" w14:textId="77777777" w:rsidR="00CC4E06" w:rsidRDefault="00CC4E06">
      <w:pPr>
        <w:spacing w:before="240" w:after="240"/>
        <w:ind w:left="0" w:firstLine="0"/>
        <w:jc w:val="both"/>
        <w:rPr>
          <w:sz w:val="22"/>
          <w:szCs w:val="22"/>
        </w:rPr>
      </w:pPr>
    </w:p>
    <w:p w14:paraId="00000021" w14:textId="77777777" w:rsidR="00CC4E06" w:rsidRDefault="00000000">
      <w:pPr>
        <w:spacing w:after="80"/>
        <w:rPr>
          <w:sz w:val="22"/>
          <w:szCs w:val="22"/>
        </w:rPr>
      </w:pPr>
      <w:r>
        <w:rPr>
          <w:b/>
          <w:bCs/>
          <w:sz w:val="22"/>
          <w:szCs w:val="22"/>
        </w:rPr>
        <w:t>Sources</w:t>
      </w:r>
    </w:p>
    <w:p w14:paraId="00000022" w14:textId="77777777" w:rsidR="00CC4E06" w:rsidRDefault="00000000">
      <w:pPr>
        <w:numPr>
          <w:ilvl w:val="0"/>
          <w:numId w:val="1"/>
        </w:numPr>
        <w:rPr>
          <w:sz w:val="22"/>
          <w:szCs w:val="22"/>
        </w:rPr>
      </w:pPr>
      <w:r>
        <w:rPr>
          <w:sz w:val="22"/>
          <w:szCs w:val="22"/>
        </w:rPr>
        <w:t xml:space="preserve">United Nations General Assembly. (2023). Political declaration of the high-level meeting on the fight against tuberculosis. </w:t>
      </w:r>
      <w:hyperlink r:id="rId18">
        <w:r>
          <w:rPr>
            <w:color w:val="1155CC"/>
            <w:sz w:val="22"/>
            <w:szCs w:val="22"/>
            <w:u w:val="single"/>
          </w:rPr>
          <w:t>https://digitallibrary.un.org/record/4025280</w:t>
        </w:r>
      </w:hyperlink>
      <w:r>
        <w:rPr>
          <w:sz w:val="22"/>
          <w:szCs w:val="22"/>
        </w:rPr>
        <w:t xml:space="preserve"> </w:t>
      </w:r>
    </w:p>
    <w:p w14:paraId="00000023" w14:textId="77777777" w:rsidR="00CC4E06" w:rsidRDefault="00000000">
      <w:pPr>
        <w:numPr>
          <w:ilvl w:val="0"/>
          <w:numId w:val="1"/>
        </w:numPr>
        <w:rPr>
          <w:sz w:val="22"/>
          <w:szCs w:val="22"/>
        </w:rPr>
      </w:pPr>
      <w:r>
        <w:rPr>
          <w:sz w:val="22"/>
          <w:szCs w:val="22"/>
        </w:rPr>
        <w:t xml:space="preserve">Center for Global Health Policy &amp; Politics. (2026). New near point-of-care TB tests. Georgetown University. </w:t>
      </w:r>
      <w:hyperlink r:id="rId19">
        <w:r>
          <w:rPr>
            <w:color w:val="1155CC"/>
            <w:sz w:val="22"/>
            <w:szCs w:val="22"/>
            <w:u w:val="single"/>
          </w:rPr>
          <w:t>https://ghpp.georgetown.edu/factsheet/new-near-point-of-care-tb-tests/</w:t>
        </w:r>
      </w:hyperlink>
    </w:p>
    <w:p w14:paraId="00000024" w14:textId="77777777" w:rsidR="00CC4E06" w:rsidRDefault="00000000">
      <w:pPr>
        <w:numPr>
          <w:ilvl w:val="0"/>
          <w:numId w:val="1"/>
        </w:numPr>
        <w:rPr>
          <w:sz w:val="22"/>
          <w:szCs w:val="22"/>
        </w:rPr>
      </w:pPr>
      <w:r>
        <w:rPr>
          <w:sz w:val="22"/>
          <w:szCs w:val="22"/>
        </w:rPr>
        <w:t xml:space="preserve">Vachaspathi, T.D. (2024). Pipeline report: Tuberculosis diagnostics. Treatment Action Group. </w:t>
      </w:r>
      <w:hyperlink r:id="rId20">
        <w:r>
          <w:rPr>
            <w:color w:val="1155CC"/>
            <w:sz w:val="22"/>
            <w:szCs w:val="22"/>
            <w:u w:val="single"/>
          </w:rPr>
          <w:t>https://www.treatmentactiongroup.org/wp-content/uploads/2025/02/2024_pipeline_tb_diagnostics_final.pdf</w:t>
        </w:r>
      </w:hyperlink>
      <w:r>
        <w:rPr>
          <w:sz w:val="22"/>
          <w:szCs w:val="22"/>
        </w:rPr>
        <w:t xml:space="preserve"> </w:t>
      </w:r>
    </w:p>
    <w:p w14:paraId="00000025" w14:textId="77777777" w:rsidR="00CC4E06" w:rsidRDefault="00000000">
      <w:pPr>
        <w:numPr>
          <w:ilvl w:val="0"/>
          <w:numId w:val="1"/>
        </w:numPr>
        <w:rPr>
          <w:sz w:val="22"/>
          <w:szCs w:val="22"/>
        </w:rPr>
      </w:pPr>
      <w:r>
        <w:rPr>
          <w:sz w:val="22"/>
          <w:szCs w:val="22"/>
        </w:rPr>
        <w:t xml:space="preserve">Treatment Action Group. (2026). Near Point-of-Care TB Tests: What Communities Need to Know. </w:t>
      </w:r>
      <w:hyperlink r:id="rId21">
        <w:r>
          <w:rPr>
            <w:color w:val="0563C1"/>
            <w:sz w:val="22"/>
            <w:szCs w:val="22"/>
            <w:u w:val="single"/>
          </w:rPr>
          <w:t>https://www.treatmentactiongroup.org/publication/npoc-factsheet/</w:t>
        </w:r>
      </w:hyperlink>
    </w:p>
    <w:p w14:paraId="00000026" w14:textId="77777777" w:rsidR="00CC4E06" w:rsidRDefault="00000000">
      <w:pPr>
        <w:numPr>
          <w:ilvl w:val="0"/>
          <w:numId w:val="1"/>
        </w:numPr>
        <w:rPr>
          <w:sz w:val="22"/>
          <w:szCs w:val="22"/>
        </w:rPr>
      </w:pPr>
      <w:r>
        <w:rPr>
          <w:sz w:val="22"/>
          <w:szCs w:val="22"/>
        </w:rPr>
        <w:t xml:space="preserve">Global Drug Facility. (2026). May 2026 Diagnostics, medical devices &amp; other health products catalog. </w:t>
      </w:r>
      <w:hyperlink r:id="rId22">
        <w:r>
          <w:rPr>
            <w:color w:val="1155CC"/>
            <w:sz w:val="22"/>
            <w:szCs w:val="22"/>
            <w:u w:val="single"/>
          </w:rPr>
          <w:t>https://www.stoptb.org/sites/default/files/documents/GDF_Diagnostics_and_MD_Catalog.pdf</w:t>
        </w:r>
      </w:hyperlink>
      <w:r>
        <w:rPr>
          <w:sz w:val="22"/>
          <w:szCs w:val="22"/>
        </w:rPr>
        <w:t xml:space="preserve"> </w:t>
      </w:r>
    </w:p>
    <w:p w14:paraId="00000027" w14:textId="77777777" w:rsidR="00CC4E06" w:rsidRDefault="00000000">
      <w:pPr>
        <w:numPr>
          <w:ilvl w:val="0"/>
          <w:numId w:val="1"/>
        </w:numPr>
        <w:rPr>
          <w:sz w:val="22"/>
          <w:szCs w:val="22"/>
        </w:rPr>
      </w:pPr>
      <w:r>
        <w:rPr>
          <w:sz w:val="22"/>
          <w:szCs w:val="22"/>
        </w:rPr>
        <w:lastRenderedPageBreak/>
        <w:t xml:space="preserve">World Health Organization. (2026). Near Point-of-Care Tests, Tongue Swabs, and Sputum Pooling for TB. </w:t>
      </w:r>
      <w:hyperlink r:id="rId23">
        <w:r>
          <w:rPr>
            <w:color w:val="0563C1"/>
            <w:sz w:val="22"/>
            <w:szCs w:val="22"/>
            <w:u w:val="single"/>
          </w:rPr>
          <w:t>https://www.who.int/teams/global-programme-on-tuberculosis-and-lung-health/diagnosis-treatment/npoc-tongue-swabs-and-sputum-pooling-for-tb/npoc-naats</w:t>
        </w:r>
      </w:hyperlink>
    </w:p>
    <w:p w14:paraId="00000028" w14:textId="77777777" w:rsidR="00CC4E06" w:rsidRDefault="00000000">
      <w:pPr>
        <w:numPr>
          <w:ilvl w:val="0"/>
          <w:numId w:val="1"/>
        </w:numPr>
        <w:rPr>
          <w:sz w:val="22"/>
          <w:szCs w:val="22"/>
        </w:rPr>
      </w:pPr>
      <w:r>
        <w:rPr>
          <w:sz w:val="22"/>
          <w:szCs w:val="22"/>
        </w:rPr>
        <w:t xml:space="preserve">World Health Organization. (2026). TB-Technical Work Frequently asked questions. </w:t>
      </w:r>
      <w:hyperlink r:id="rId24">
        <w:r>
          <w:rPr>
            <w:color w:val="0563C1"/>
            <w:sz w:val="22"/>
            <w:szCs w:val="22"/>
            <w:u w:val="single"/>
          </w:rPr>
          <w:t>https://www.who.int/teams/global-programme-on-tuberculosis-and-lung-health/diagnosis-treatment/npoc-tongue-swabs-and-sputum-pooling-for-tb/frequently-asked-questions</w:t>
        </w:r>
      </w:hyperlink>
    </w:p>
    <w:p w14:paraId="00000029" w14:textId="77777777" w:rsidR="00CC4E06" w:rsidRDefault="00000000">
      <w:pPr>
        <w:numPr>
          <w:ilvl w:val="0"/>
          <w:numId w:val="1"/>
        </w:numPr>
        <w:rPr>
          <w:sz w:val="22"/>
          <w:szCs w:val="22"/>
        </w:rPr>
      </w:pPr>
      <w:r>
        <w:rPr>
          <w:sz w:val="22"/>
          <w:szCs w:val="22"/>
        </w:rPr>
        <w:t xml:space="preserve">Stop TB Partnership, Global Laboratory Initiative. (2026). The TB near-point-of-care and swab-based testing toolkit. </w:t>
      </w:r>
      <w:hyperlink r:id="rId25">
        <w:r>
          <w:rPr>
            <w:color w:val="0563C1"/>
            <w:sz w:val="22"/>
            <w:szCs w:val="22"/>
            <w:u w:val="single"/>
          </w:rPr>
          <w:t>https://www.stoptb.org/who-we-are/stop-tb-working-groups/global-laboratory-initiative-gli/gli-guidance-and-tools/tb-near-point-care-and-swab-based-testing-toolkit</w:t>
        </w:r>
      </w:hyperlink>
    </w:p>
    <w:p w14:paraId="0000002A" w14:textId="77777777" w:rsidR="00CC4E06" w:rsidRDefault="00000000">
      <w:pPr>
        <w:numPr>
          <w:ilvl w:val="0"/>
          <w:numId w:val="1"/>
        </w:numPr>
        <w:rPr>
          <w:sz w:val="22"/>
          <w:szCs w:val="22"/>
        </w:rPr>
      </w:pPr>
      <w:r>
        <w:rPr>
          <w:sz w:val="22"/>
          <w:szCs w:val="22"/>
        </w:rPr>
        <w:t xml:space="preserve">Lynch, S., Mupfumi, L., Otieno, C., Sharma, A., &amp; Mataka, A. (2026). The case for ambition: Why countries must move boldly on Near Point-of-Care TB Diagnostics. PLOS Global Public Health, 6(3), e0006134. </w:t>
      </w:r>
      <w:hyperlink r:id="rId26">
        <w:r>
          <w:rPr>
            <w:color w:val="1155CC"/>
            <w:sz w:val="22"/>
            <w:szCs w:val="22"/>
            <w:u w:val="single"/>
          </w:rPr>
          <w:t>https://doi.org/10.1371/journal.pgph.0006134</w:t>
        </w:r>
      </w:hyperlink>
      <w:r>
        <w:rPr>
          <w:sz w:val="22"/>
          <w:szCs w:val="22"/>
        </w:rPr>
        <w:t xml:space="preserve"> </w:t>
      </w:r>
    </w:p>
    <w:p w14:paraId="0000002B" w14:textId="77777777" w:rsidR="00CC4E06" w:rsidRDefault="00CC4E06">
      <w:pPr>
        <w:rPr>
          <w:sz w:val="22"/>
          <w:szCs w:val="22"/>
        </w:rPr>
      </w:pPr>
    </w:p>
    <w:p w14:paraId="0000002C" w14:textId="77777777" w:rsidR="00CC4E06" w:rsidRDefault="00CC4E06"/>
    <w:sectPr w:rsidR="00CC4E06">
      <w:pgSz w:w="12240" w:h="15840"/>
      <w:pgMar w:top="1080" w:right="1260" w:bottom="1080" w:left="126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Agrata" w:date="2026-08-21T13:24:00Z" w:initials="">
    <w:p w14:paraId="0000002D" w14:textId="77777777" w:rsidR="00CC4E06" w:rsidRDefault="00775A6E">
      <w:pPr>
        <w:widowControl w:val="0"/>
        <w:pBdr>
          <w:top w:val="nil"/>
          <w:left w:val="nil"/>
          <w:bottom w:val="nil"/>
          <w:right w:val="nil"/>
          <w:between w:val="nil"/>
        </w:pBdr>
        <w:spacing w:after="0"/>
        <w:ind w:left="0" w:firstLine="0"/>
        <w:rPr>
          <w:color w:val="000000"/>
          <w:sz w:val="22"/>
          <w:szCs w:val="22"/>
        </w:rPr>
      </w:pPr>
      <w:r>
        <w:rPr>
          <w:rStyle w:val="CommentReference"/>
        </w:rPr>
        <w:annotationRef/>
      </w:r>
      <w:r w:rsidR="00000000">
        <w:rPr>
          <w:color w:val="000000"/>
          <w:sz w:val="22"/>
          <w:szCs w:val="22"/>
        </w:rPr>
        <w:t>You can find the country data from WHO at https://worldhealthorg.shinyapps.io/tb_profiles/?_inputs_&amp;tab=%22charts%22&amp;lan=%22EN%22&amp;iso3=%22AFG%22&amp;entity_type=%22country%22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0000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00002D" w16cid:durableId="0000002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269FB85-813B-424E-8F59-77BB530962E2}"/>
    <w:embedBold r:id="rId2" w:fontKey="{0A1D0B6E-7B17-5B4E-AF4E-3AB9C6675E0F}"/>
    <w:embedItalic r:id="rId3" w:fontKey="{8693DF9B-991B-9C44-A45E-06BE9D71A68F}"/>
  </w:font>
  <w:font w:name="Arial">
    <w:panose1 w:val="020B0604020202020204"/>
    <w:charset w:val="00"/>
    <w:family w:val="swiss"/>
    <w:pitch w:val="variable"/>
    <w:sig w:usb0="E0002AFF" w:usb1="C0007843" w:usb2="00000009" w:usb3="00000000" w:csb0="000001FF" w:csb1="00000000"/>
    <w:embedRegular r:id="rId4" w:fontKey="{5ED605EE-260B-7B4E-97F2-965CF7D19D3A}"/>
    <w:embedBold r:id="rId5" w:fontKey="{7C4A67A5-03AF-0640-A716-6BA6F739AAA2}"/>
    <w:embedItalic r:id="rId6" w:fontKey="{BFF5B3F5-5E70-4544-B799-B9D501DA3CEA}"/>
  </w:font>
  <w:font w:name="Play">
    <w:panose1 w:val="020B0604020202020204"/>
    <w:charset w:val="00"/>
    <w:family w:val="auto"/>
    <w:pitch w:val="default"/>
    <w:embedRegular r:id="rId7" w:fontKey="{CC2E1A8F-B560-4B41-AACB-7CB7ED80E60E}"/>
  </w:font>
  <w:font w:name="Aptos Display">
    <w:panose1 w:val="020B0004020202020204"/>
    <w:charset w:val="00"/>
    <w:family w:val="swiss"/>
    <w:pitch w:val="variable"/>
    <w:sig w:usb0="20000287" w:usb1="00000003" w:usb2="00000000" w:usb3="00000000" w:csb0="0000019F" w:csb1="00000000"/>
    <w:embedRegular r:id="rId8" w:fontKey="{74C8C3BA-5A94-844A-9590-86121E62BD51}"/>
  </w:font>
  <w:font w:name="Aptos">
    <w:panose1 w:val="020B0004020202020204"/>
    <w:charset w:val="00"/>
    <w:family w:val="swiss"/>
    <w:pitch w:val="variable"/>
    <w:sig w:usb0="20000287" w:usb1="00000003" w:usb2="00000000" w:usb3="00000000" w:csb0="0000019F" w:csb1="00000000"/>
    <w:embedRegular r:id="rId9" w:fontKey="{E9028CE6-5E35-7143-A4B8-0F5DFE42671C}"/>
    <w:embedBold r:id="rId10" w:fontKey="{F59D12F3-7037-644E-AC6E-4ADDC67718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CB1B60"/>
    <w:multiLevelType w:val="multilevel"/>
    <w:tmpl w:val="D9D20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A73310"/>
    <w:multiLevelType w:val="multilevel"/>
    <w:tmpl w:val="6906A03C"/>
    <w:lvl w:ilvl="0">
      <w:start w:val="1"/>
      <w:numFmt w:val="decimal"/>
      <w:lvlText w:val="%1."/>
      <w:lvlJc w:val="left"/>
      <w:pPr>
        <w:ind w:left="504" w:hanging="316"/>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2" w15:restartNumberingAfterBreak="0">
    <w:nsid w:val="44651D87"/>
    <w:multiLevelType w:val="multilevel"/>
    <w:tmpl w:val="FFA61622"/>
    <w:lvl w:ilvl="0">
      <w:start w:val="1"/>
      <w:numFmt w:val="bullet"/>
      <w:lvlText w:val="•"/>
      <w:lvlJc w:val="left"/>
      <w:pPr>
        <w:ind w:left="316" w:hanging="23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num w:numId="1" w16cid:durableId="466431768">
    <w:abstractNumId w:val="1"/>
  </w:num>
  <w:num w:numId="2" w16cid:durableId="1427727268">
    <w:abstractNumId w:val="0"/>
  </w:num>
  <w:num w:numId="3" w16cid:durableId="164739009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06"/>
    <w:rsid w:val="00770A63"/>
    <w:rsid w:val="00775A6E"/>
    <w:rsid w:val="00CC4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30802C"/>
  <w15:docId w15:val="{F9223103-AA80-1649-B4F8-236252F1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pPr>
        <w:spacing w:after="60"/>
        <w:ind w:left="504" w:hanging="31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014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014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9CC"/>
    <w:rPr>
      <w:rFonts w:eastAsiaTheme="majorEastAsia" w:cstheme="majorBidi"/>
      <w:color w:val="272727" w:themeColor="text1" w:themeTint="D8"/>
    </w:rPr>
  </w:style>
  <w:style w:type="character" w:customStyle="1" w:styleId="TitleChar">
    <w:name w:val="Title Char"/>
    <w:basedOn w:val="DefaultParagraphFont"/>
    <w:link w:val="Title"/>
    <w:uiPriority w:val="10"/>
    <w:rsid w:val="000149C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14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9CC"/>
    <w:pPr>
      <w:spacing w:before="160"/>
      <w:jc w:val="center"/>
    </w:pPr>
    <w:rPr>
      <w:i/>
      <w:iCs/>
      <w:color w:val="404040" w:themeColor="text1" w:themeTint="BF"/>
    </w:rPr>
  </w:style>
  <w:style w:type="character" w:customStyle="1" w:styleId="QuoteChar">
    <w:name w:val="Quote Char"/>
    <w:basedOn w:val="DefaultParagraphFont"/>
    <w:link w:val="Quote"/>
    <w:uiPriority w:val="29"/>
    <w:rsid w:val="000149CC"/>
    <w:rPr>
      <w:i/>
      <w:iCs/>
      <w:color w:val="404040" w:themeColor="text1" w:themeTint="BF"/>
    </w:rPr>
  </w:style>
  <w:style w:type="paragraph" w:styleId="ListParagraph">
    <w:name w:val="List Paragraph"/>
    <w:basedOn w:val="Normal"/>
    <w:uiPriority w:val="34"/>
    <w:qFormat/>
    <w:rsid w:val="000149CC"/>
    <w:pPr>
      <w:ind w:left="720"/>
      <w:contextualSpacing/>
    </w:pPr>
  </w:style>
  <w:style w:type="character" w:styleId="IntenseEmphasis">
    <w:name w:val="Intense Emphasis"/>
    <w:basedOn w:val="DefaultParagraphFont"/>
    <w:uiPriority w:val="21"/>
    <w:qFormat/>
    <w:rsid w:val="000149CC"/>
    <w:rPr>
      <w:i/>
      <w:iCs/>
      <w:color w:val="0F4761" w:themeColor="accent1" w:themeShade="BF"/>
    </w:rPr>
  </w:style>
  <w:style w:type="paragraph" w:styleId="IntenseQuote">
    <w:name w:val="Intense Quote"/>
    <w:basedOn w:val="Normal"/>
    <w:next w:val="Normal"/>
    <w:link w:val="IntenseQuoteChar"/>
    <w:uiPriority w:val="30"/>
    <w:qFormat/>
    <w:rsid w:val="00014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9CC"/>
    <w:rPr>
      <w:i/>
      <w:iCs/>
      <w:color w:val="0F4761" w:themeColor="accent1" w:themeShade="BF"/>
    </w:rPr>
  </w:style>
  <w:style w:type="character" w:styleId="IntenseReference">
    <w:name w:val="Intense Reference"/>
    <w:basedOn w:val="DefaultParagraphFont"/>
    <w:uiPriority w:val="32"/>
    <w:qFormat/>
    <w:rsid w:val="000149CC"/>
    <w:rPr>
      <w:b/>
      <w:bCs/>
      <w:smallCaps/>
      <w:color w:val="0F4761" w:themeColor="accent1" w:themeShade="BF"/>
      <w:spacing w:val="5"/>
    </w:rPr>
  </w:style>
  <w:style w:type="character" w:styleId="CommentReference">
    <w:name w:val="annotation reference"/>
    <w:basedOn w:val="DefaultParagraphFont"/>
    <w:uiPriority w:val="99"/>
    <w:semiHidden/>
    <w:unhideWhenUsed/>
    <w:rsid w:val="000149CC"/>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Arial" w:eastAsia="Arial" w:hAnsi="Arial" w:cs="Arial"/>
      <w:kern w:val="0"/>
      <w:sz w:val="20"/>
      <w:szCs w:val="20"/>
      <w:lang w:val="en"/>
    </w:rPr>
  </w:style>
  <w:style w:type="paragraph" w:styleId="Revision">
    <w:name w:val="Revision"/>
    <w:hidden/>
    <w:uiPriority w:val="99"/>
    <w:semiHidden/>
    <w:rsid w:val="00DC08ED"/>
    <w:pPr>
      <w:spacing w:after="0"/>
    </w:pPr>
  </w:style>
  <w:style w:type="paragraph" w:styleId="CommentSubject">
    <w:name w:val="annotation subject"/>
    <w:basedOn w:val="CommentText"/>
    <w:next w:val="CommentText"/>
    <w:link w:val="CommentSubjectChar"/>
    <w:uiPriority w:val="99"/>
    <w:semiHidden/>
    <w:unhideWhenUsed/>
    <w:rsid w:val="00DC08ED"/>
    <w:rPr>
      <w:b/>
      <w:bCs/>
    </w:rPr>
  </w:style>
  <w:style w:type="character" w:customStyle="1" w:styleId="CommentSubjectChar">
    <w:name w:val="Comment Subject Char"/>
    <w:basedOn w:val="CommentTextChar"/>
    <w:link w:val="CommentSubject"/>
    <w:uiPriority w:val="99"/>
    <w:semiHidden/>
    <w:rsid w:val="00DC08ED"/>
    <w:rPr>
      <w:rFonts w:ascii="Arial" w:eastAsia="Arial" w:hAnsi="Arial" w:cs="Arial"/>
      <w:b/>
      <w:bCs/>
      <w:kern w:val="0"/>
      <w:sz w:val="20"/>
      <w:szCs w:val="20"/>
      <w:lang w:val="en"/>
    </w:rPr>
  </w:style>
  <w:style w:type="character" w:styleId="Hyperlink">
    <w:name w:val="Hyperlink"/>
    <w:basedOn w:val="DefaultParagraphFont"/>
    <w:uiPriority w:val="99"/>
    <w:unhideWhenUsed/>
    <w:rsid w:val="00E420CD"/>
    <w:rPr>
      <w:color w:val="467886" w:themeColor="hyperlink"/>
      <w:u w:val="single"/>
    </w:rPr>
  </w:style>
  <w:style w:type="character" w:styleId="UnresolvedMention">
    <w:name w:val="Unresolved Mention"/>
    <w:basedOn w:val="DefaultParagraphFont"/>
    <w:uiPriority w:val="99"/>
    <w:semiHidden/>
    <w:unhideWhenUsed/>
    <w:rsid w:val="00E420CD"/>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who.int/teams/global-programme-on-tuberculosis-and-lung-health/diagnosis-treatment/npoc-tongue-swabs-and-sputum-pooling-for-tb/npoc-naats" TargetMode="External"/><Relationship Id="rId18" Type="http://schemas.openxmlformats.org/officeDocument/2006/relationships/hyperlink" Target="https://digitallibrary.un.org/record/4025280" TargetMode="External"/><Relationship Id="rId26" Type="http://schemas.openxmlformats.org/officeDocument/2006/relationships/hyperlink" Target="https://doi.org/10.1371/journal.pgph.0006134" TargetMode="External"/><Relationship Id="rId3" Type="http://schemas.openxmlformats.org/officeDocument/2006/relationships/styles" Target="styles.xml"/><Relationship Id="rId21" Type="http://schemas.openxmlformats.org/officeDocument/2006/relationships/hyperlink" Target="https://www.treatmentactiongroup.org/publication/npoc-factsheet/" TargetMode="External"/><Relationship Id="rId7" Type="http://schemas.microsoft.com/office/2011/relationships/commentsExtended" Target="commentsExtended.xml"/><Relationship Id="rId12" Type="http://schemas.openxmlformats.org/officeDocument/2006/relationships/hyperlink" Target="https://ghpp.georgetown.edu/factsheet/new-near-point-of-care-tb-tests/" TargetMode="External"/><Relationship Id="rId17" Type="http://schemas.openxmlformats.org/officeDocument/2006/relationships/hyperlink" Target="https://www.stoptb.org/who-we-are/stop-tb-working-groups/global-laboratory-initiative-gli/gli-guidance-and-tools/tb-near-point-care-and-swab-based-testing-toolkit" TargetMode="External"/><Relationship Id="rId25" Type="http://schemas.openxmlformats.org/officeDocument/2006/relationships/hyperlink" Target="https://www.stoptb.org/who-we-are/stop-tb-working-groups/global-laboratory-initiative-gli/gli-guidance-and-tools/tb-near-point-care-and-swab-based-testing-toolkit" TargetMode="External"/><Relationship Id="rId2" Type="http://schemas.openxmlformats.org/officeDocument/2006/relationships/numbering" Target="numbering.xml"/><Relationship Id="rId16" Type="http://schemas.openxmlformats.org/officeDocument/2006/relationships/hyperlink" Target="https://www.stoptb.org/sites/default/files/documents/GDF_Diagnostics_and_MD_Catalog.pdf" TargetMode="External"/><Relationship Id="rId20" Type="http://schemas.openxmlformats.org/officeDocument/2006/relationships/hyperlink" Target="https://www.treatmentactiongroup.org/wp-content/uploads/2025/02/2024_pipeline_tb_diagnostics_final.pdf" TargetMode="Externa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s://pubmed.ncbi.nlm.nih.gov/38243223/" TargetMode="External"/><Relationship Id="rId24" Type="http://schemas.openxmlformats.org/officeDocument/2006/relationships/hyperlink" Target="https://www.who.int/teams/global-programme-on-tuberculosis-and-lung-health/diagnosis-treatment/npoc-tongue-swabs-and-sputum-pooling-for-tb/frequently-asked-questions" TargetMode="External"/><Relationship Id="rId5" Type="http://schemas.openxmlformats.org/officeDocument/2006/relationships/webSettings" Target="webSettings.xml"/><Relationship Id="rId15" Type="http://schemas.openxmlformats.org/officeDocument/2006/relationships/hyperlink" Target="https://tbksp.who.int/fr/node/3074" TargetMode="External"/><Relationship Id="rId23" Type="http://schemas.openxmlformats.org/officeDocument/2006/relationships/hyperlink" Target="https://www.who.int/teams/global-programme-on-tuberculosis-and-lung-health/diagnosis-treatment/npoc-tongue-swabs-and-sputum-pooling-for-tb/npoc-naats" TargetMode="External"/><Relationship Id="rId28" Type="http://schemas.openxmlformats.org/officeDocument/2006/relationships/theme" Target="theme/theme1.xml"/><Relationship Id="rId10" Type="http://schemas.openxmlformats.org/officeDocument/2006/relationships/hyperlink" Target="https://www.nejm.org/doi/full/10.1056/NEJMoa2105470" TargetMode="External"/><Relationship Id="rId19" Type="http://schemas.openxmlformats.org/officeDocument/2006/relationships/hyperlink" Target="https://ghpp.georgetown.edu/factsheet/new-near-point-of-care-tb-tests/" TargetMode="External"/><Relationship Id="rId4" Type="http://schemas.openxmlformats.org/officeDocument/2006/relationships/settings" Target="settings.xml"/><Relationship Id="rId9" Type="http://schemas.openxmlformats.org/officeDocument/2006/relationships/hyperlink" Target="https://digitallibrary.un.org/record/4025280" TargetMode="External"/><Relationship Id="rId14" Type="http://schemas.openxmlformats.org/officeDocument/2006/relationships/hyperlink" Target="https://www.stoptb.org/sites/default/files/documents/GDF_Diagnostics_and_MD_Catalog.pdf" TargetMode="External"/><Relationship Id="rId22" Type="http://schemas.openxmlformats.org/officeDocument/2006/relationships/hyperlink" Target="https://www.stoptb.org/sites/default/files/documents/GDF_Diagnostics_and_MD_Catalog.pdf"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XKn38B/TCxFnwfNi/3sef8tv7w==">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1324</Words>
  <Characters>7547</Characters>
  <Application>Microsoft Office Word</Application>
  <DocSecurity>0</DocSecurity>
  <Lines>62</Lines>
  <Paragraphs>17</Paragraphs>
  <ScaleCrop>false</ScaleCrop>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Agrata Sharma</dc:creator>
  <cp:lastModifiedBy>Agrata Sharma</cp:lastModifiedBy>
  <cp:revision>2</cp:revision>
  <dcterms:created xsi:type="dcterms:W3CDTF">2026-08-21T18:33:00Z</dcterms:created>
  <dcterms:modified xsi:type="dcterms:W3CDTF">2026-08-26T12:44:00Z</dcterms:modified>
</cp:coreProperties>
</file>